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Regular Meeting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both virtually and at Roots and Wings Community School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pm, November 17, 2020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https://meet.google.com/vvj-zear-xcx?authuser=0&amp;hs=122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‪(US) +1 617-675-4444‬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Moment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Hillcrest Bank - Opt in/out of two programs - Positive Pay and ACH Dual Control (Sarah will present)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McKinney-Vento Dispute Resolution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Background Check policy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ACES Contract for Principal of Record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Informational/Discussion Items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Report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Renewal Committee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about how we will determine if we are moving to Hybrid after Jan 1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Development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Training schedule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  <w:t xml:space="preserve">Jon Orris, Director</w:t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tl w:val="0"/>
      </w:rPr>
      <w:t xml:space="preserve">Veronica Garcia, Office Manager</w: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  <w:t xml:space="preserve">35 La Lama Rd.</w:t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rtl w:val="0"/>
      </w:rPr>
      <w:t xml:space="preserve">HC 81 Box 22, Questa, NM 87556</w:t>
    </w:r>
  </w:p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rtl w:val="0"/>
      </w:rPr>
      <w:t xml:space="preserve">Ph. (575) 586-2076/ Fax: (575) 586-2087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24">
    <w:pPr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